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21E8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CC7F4B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CC7F4B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CC7F4B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Лесозаводского городского округа на 202</w:t>
      </w:r>
      <w:r w:rsidR="00CC7F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 по ведомственной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структуре расходов бюджета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Look w:val="04A0" w:firstRow="1" w:lastRow="0" w:firstColumn="1" w:lastColumn="0" w:noHBand="0" w:noVBand="1"/>
      </w:tblPr>
      <w:tblGrid>
        <w:gridCol w:w="4106"/>
        <w:gridCol w:w="708"/>
        <w:gridCol w:w="820"/>
        <w:gridCol w:w="1483"/>
        <w:gridCol w:w="744"/>
        <w:gridCol w:w="6"/>
        <w:gridCol w:w="1909"/>
        <w:gridCol w:w="6"/>
      </w:tblGrid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4B">
              <w:rPr>
                <w:rFonts w:ascii="Times New Roman" w:hAnsi="Times New Roman" w:cs="Times New Roman"/>
                <w:sz w:val="24"/>
                <w:szCs w:val="24"/>
              </w:rPr>
              <w:t>Сумма на 2025 год, рублей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14 924 890,00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13 187 890,00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13 055 650,00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1 112 198 886,01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1 097 988 819,01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дополнительного образования,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68 585 080,00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14 210 067,00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459 924 312,24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134 046 288,00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51 005 617,00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50 105 617,00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50 105 617,00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4 003 500,00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4 003 500,00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1 219 463,00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5 214 274,00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полномочий Российской Федерации на государственную регистрацию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актов гражданского состояния за счет средств краевого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1 536 951,00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83 318 726,85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мероприятий при осуществлении деятельности по обращению с животными без владельцев на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Лесозаводского городского округа" на 2023-2027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43 383 000,00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561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173 246 586,73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123 009 818,77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41 361 332,20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29 411 232,70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46 236 767,96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64 292 710,66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15 551 123,51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561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гражданам, удостоенным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561D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195 613 007,18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22 619 040,00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22 619 040,00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родителей, лиц из числа детей-сирот и детей, оставшихся без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 жилыми помещениями"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115 198 482,93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13 472 500,00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учреждение  "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170 721 847,84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83 512 035,00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53 656 935,00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на территории Лесозаводского </w:t>
            </w: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массовой физической </w:t>
            </w:r>
            <w:proofErr w:type="gramStart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CC7F4B" w:rsidRPr="00CC7F4B" w:rsidTr="00CC7F4B">
        <w:trPr>
          <w:gridAfter w:val="1"/>
          <w:wAfter w:w="6" w:type="dxa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CC7F4B" w:rsidRPr="00CC7F4B" w:rsidTr="00CC7F4B">
        <w:tc>
          <w:tcPr>
            <w:tcW w:w="7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F4B" w:rsidRPr="00CC7F4B" w:rsidRDefault="00CC7F4B" w:rsidP="00CC7F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F4B" w:rsidRPr="00CC7F4B" w:rsidRDefault="00CC7F4B" w:rsidP="00CC7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7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1 982 726 073,27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D4D" w:rsidRDefault="00363D4D" w:rsidP="00FD310C">
      <w:pPr>
        <w:spacing w:after="0" w:line="240" w:lineRule="auto"/>
      </w:pPr>
      <w:r>
        <w:separator/>
      </w:r>
    </w:p>
  </w:endnote>
  <w:end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D4D" w:rsidRDefault="00363D4D" w:rsidP="00FD310C">
      <w:pPr>
        <w:spacing w:after="0" w:line="240" w:lineRule="auto"/>
      </w:pPr>
      <w:r>
        <w:separator/>
      </w:r>
    </w:p>
  </w:footnote>
  <w:foot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D4D" w:rsidRDefault="00820D20">
    <w:pPr>
      <w:pStyle w:val="a3"/>
      <w:jc w:val="right"/>
    </w:pPr>
    <w:r>
      <w:fldChar w:fldCharType="begin"/>
    </w:r>
    <w:r w:rsidR="00363D4D">
      <w:instrText xml:space="preserve"> PAGE   \* MERGEFORMAT </w:instrText>
    </w:r>
    <w:r>
      <w:fldChar w:fldCharType="separate"/>
    </w:r>
    <w:r w:rsidR="00A54AB0">
      <w:rPr>
        <w:noProof/>
      </w:rPr>
      <w:t>41</w:t>
    </w:r>
    <w:r>
      <w:rPr>
        <w:noProof/>
      </w:rPr>
      <w:fldChar w:fldCharType="end"/>
    </w:r>
  </w:p>
  <w:p w:rsidR="00363D4D" w:rsidRDefault="00363D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1D4B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0D20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4AB0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5A2D"/>
    <w:rsid w:val="00CC60BF"/>
    <w:rsid w:val="00CC67BD"/>
    <w:rsid w:val="00CC76BC"/>
    <w:rsid w:val="00CC7F4B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AEB839"/>
  <w15:docId w15:val="{FFD27E35-8748-4A05-8E67-3C2A73AE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C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B390-D505-4C3C-A5DF-A467436D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10549</Words>
  <Characters>72768</Characters>
  <Application>Microsoft Office Word</Application>
  <DocSecurity>0</DocSecurity>
  <Lines>606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2024-10-28T06:38:00Z</dcterms:created>
  <dcterms:modified xsi:type="dcterms:W3CDTF">2024-10-28T23:48:00Z</dcterms:modified>
</cp:coreProperties>
</file>