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A7" w:rsidRP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B67A72" w:rsidRDefault="00D136AE" w:rsidP="00B67A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6AE">
        <w:rPr>
          <w:rFonts w:ascii="Times New Roman" w:hAnsi="Times New Roman" w:cs="Times New Roman"/>
          <w:b/>
          <w:sz w:val="24"/>
          <w:szCs w:val="24"/>
        </w:rPr>
        <w:t xml:space="preserve">об оценки эффективности налоговых расхода Лесозаводского городского округа по 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земельному налогу, </w:t>
      </w:r>
      <w:r w:rsidRPr="00D136AE">
        <w:rPr>
          <w:rFonts w:ascii="Times New Roman" w:hAnsi="Times New Roman" w:cs="Times New Roman"/>
          <w:b/>
          <w:sz w:val="24"/>
          <w:szCs w:val="24"/>
        </w:rPr>
        <w:t>установленного решением Думы Лесозаводского городского округа</w:t>
      </w:r>
      <w:r w:rsidR="00344500">
        <w:rPr>
          <w:rFonts w:ascii="Times New Roman" w:hAnsi="Times New Roman" w:cs="Times New Roman"/>
          <w:b/>
          <w:sz w:val="24"/>
          <w:szCs w:val="24"/>
        </w:rPr>
        <w:t xml:space="preserve"> от 21.07.2015 № 363-НПА «Об установлении земельного налога на территории Лесозаводского городского округа»</w:t>
      </w:r>
      <w:r w:rsidR="00B67A72" w:rsidRPr="00B67A72">
        <w:t xml:space="preserve"> </w:t>
      </w:r>
      <w:r w:rsidR="00B67A72" w:rsidRPr="00B67A72">
        <w:rPr>
          <w:rFonts w:ascii="Times New Roman" w:hAnsi="Times New Roman" w:cs="Times New Roman"/>
          <w:b/>
          <w:sz w:val="24"/>
          <w:szCs w:val="24"/>
        </w:rPr>
        <w:t>0,7 процента в отношении земельных участков, предназначенных для размещения гаражей и автостоянок для индивидуального автотранспорта, не связанного с осуществлением предпринимательской деятельности</w:t>
      </w:r>
      <w:r w:rsidRPr="00D136AE">
        <w:rPr>
          <w:rFonts w:ascii="Times New Roman" w:hAnsi="Times New Roman" w:cs="Times New Roman"/>
          <w:b/>
          <w:sz w:val="24"/>
          <w:szCs w:val="24"/>
        </w:rPr>
        <w:t>,</w:t>
      </w:r>
      <w:r w:rsidR="00B67A7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36AE" w:rsidRPr="00B67A72" w:rsidRDefault="00D136AE" w:rsidP="00B67A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>за 20</w:t>
      </w:r>
      <w:r w:rsidR="006E6B37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D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</w:p>
    <w:p w:rsidR="00D136AE" w:rsidRDefault="00D136AE" w:rsidP="00D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7165"/>
      </w:tblGrid>
      <w:tr w:rsidR="00D136AE" w:rsidTr="00D136AE">
        <w:tc>
          <w:tcPr>
            <w:tcW w:w="817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оценки эффективности налогового расхода</w:t>
            </w:r>
          </w:p>
        </w:tc>
        <w:tc>
          <w:tcPr>
            <w:tcW w:w="7165" w:type="dxa"/>
          </w:tcPr>
          <w:p w:rsidR="00D136AE" w:rsidRPr="00BF51CC" w:rsidRDefault="00D136A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Результаты оценки эффективности налогов расхода, обоснование результата эффективности налогов расхода</w:t>
            </w:r>
          </w:p>
        </w:tc>
      </w:tr>
      <w:tr w:rsidR="002A171D" w:rsidTr="002A171D">
        <w:tc>
          <w:tcPr>
            <w:tcW w:w="817" w:type="dxa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9" w:type="dxa"/>
            <w:gridSpan w:val="2"/>
          </w:tcPr>
          <w:p w:rsidR="002A171D" w:rsidRPr="00BF51CC" w:rsidRDefault="002A171D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Общее положение</w:t>
            </w:r>
          </w:p>
        </w:tc>
      </w:tr>
      <w:tr w:rsidR="00B71BB3" w:rsidTr="00D136AE">
        <w:tc>
          <w:tcPr>
            <w:tcW w:w="817" w:type="dxa"/>
          </w:tcPr>
          <w:p w:rsidR="00B71BB3" w:rsidRPr="00BF51CC" w:rsidRDefault="00B71BB3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</w:tcPr>
          <w:p w:rsidR="00B71BB3" w:rsidRPr="00BF51CC" w:rsidRDefault="00B71BB3" w:rsidP="003D6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Куратор налоговых расходов</w:t>
            </w:r>
          </w:p>
        </w:tc>
        <w:tc>
          <w:tcPr>
            <w:tcW w:w="7165" w:type="dxa"/>
          </w:tcPr>
          <w:p w:rsidR="00B71BB3" w:rsidRPr="00CC7818" w:rsidRDefault="00CC7818" w:rsidP="00EF50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EF5040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</w:p>
        </w:tc>
      </w:tr>
      <w:tr w:rsidR="00EF5040" w:rsidTr="00D136AE">
        <w:tc>
          <w:tcPr>
            <w:tcW w:w="817" w:type="dxa"/>
          </w:tcPr>
          <w:p w:rsidR="00EF5040" w:rsidRPr="00BF51CC" w:rsidRDefault="00EF5040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</w:tcPr>
          <w:p w:rsidR="00EF5040" w:rsidRPr="00BF51CC" w:rsidRDefault="00EF5040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расходов</w:t>
            </w:r>
          </w:p>
        </w:tc>
        <w:tc>
          <w:tcPr>
            <w:tcW w:w="7165" w:type="dxa"/>
          </w:tcPr>
          <w:p w:rsidR="00EF5040" w:rsidRPr="002036F6" w:rsidRDefault="00EF5040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6F6">
              <w:rPr>
                <w:rFonts w:ascii="Times New Roman" w:hAnsi="Times New Roman" w:cs="Times New Roman"/>
                <w:sz w:val="24"/>
                <w:szCs w:val="24"/>
              </w:rPr>
              <w:t>Пониженная налоговая ставка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</w:t>
            </w:r>
          </w:p>
        </w:tc>
        <w:tc>
          <w:tcPr>
            <w:tcW w:w="7165" w:type="dxa"/>
          </w:tcPr>
          <w:p w:rsidR="00CC7818" w:rsidRPr="00CC7818" w:rsidRDefault="00CC7818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18">
              <w:rPr>
                <w:rFonts w:ascii="Times New Roman" w:hAnsi="Times New Roman" w:cs="Times New Roman"/>
                <w:sz w:val="24"/>
                <w:szCs w:val="24"/>
              </w:rPr>
              <w:t>Социальный налоговый расход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воспользовавшихся льготой</w:t>
            </w:r>
          </w:p>
        </w:tc>
        <w:tc>
          <w:tcPr>
            <w:tcW w:w="7165" w:type="dxa"/>
          </w:tcPr>
          <w:p w:rsidR="00CC7818" w:rsidRPr="00B62366" w:rsidRDefault="006E6B37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Сумма налогового расхода (тыс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7165" w:type="dxa"/>
          </w:tcPr>
          <w:p w:rsidR="00CC7818" w:rsidRPr="00B62366" w:rsidRDefault="00EF5040" w:rsidP="006E6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6B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969" w:type="dxa"/>
            <w:gridSpan w:val="2"/>
          </w:tcPr>
          <w:p w:rsidR="00CC7818" w:rsidRPr="003D6309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целесообразности налогового расхода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Соответствии налогового расхода целям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  <w:proofErr w:type="gramEnd"/>
          </w:p>
        </w:tc>
        <w:tc>
          <w:tcPr>
            <w:tcW w:w="7165" w:type="dxa"/>
          </w:tcPr>
          <w:p w:rsidR="00CC7818" w:rsidRPr="003D6309" w:rsidRDefault="00BA27BE" w:rsidP="009476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стоимости жизни населения в соответствии с п.1.2. ч.1 Концепции развития Лесозаводского городского округа на 2016-2030 годы</w:t>
            </w:r>
          </w:p>
        </w:tc>
      </w:tr>
      <w:tr w:rsidR="00CC7818" w:rsidTr="00D136AE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</w:tcPr>
          <w:p w:rsidR="00CC7818" w:rsidRPr="00BF51CC" w:rsidRDefault="00CC7818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Востребованность налогового расхода</w:t>
            </w:r>
          </w:p>
        </w:tc>
        <w:tc>
          <w:tcPr>
            <w:tcW w:w="7165" w:type="dxa"/>
          </w:tcPr>
          <w:p w:rsidR="00CC7818" w:rsidRPr="003D6309" w:rsidRDefault="00CC7818" w:rsidP="00B71B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6309">
              <w:rPr>
                <w:rFonts w:ascii="Times New Roman" w:hAnsi="Times New Roman" w:cs="Times New Roman"/>
                <w:sz w:val="24"/>
                <w:szCs w:val="24"/>
              </w:rPr>
              <w:t>алоговая льгота востребована</w:t>
            </w:r>
          </w:p>
        </w:tc>
      </w:tr>
      <w:tr w:rsidR="00CC7818" w:rsidTr="002A171D">
        <w:tc>
          <w:tcPr>
            <w:tcW w:w="817" w:type="dxa"/>
          </w:tcPr>
          <w:p w:rsidR="00CC7818" w:rsidRPr="00BF51CC" w:rsidRDefault="00CC7818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969" w:type="dxa"/>
            <w:gridSpan w:val="2"/>
          </w:tcPr>
          <w:p w:rsidR="00CC7818" w:rsidRPr="00947663" w:rsidRDefault="00CC7818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Критерии результативности налогового расхода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Вклад налоговой льготы в изменение значения показателя (индикатора) достижения целей муниципальной программы Лесозаводского городского округа и (или) целям социально-экономической политики Лесозаводского городского округа, не относящимся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622451" w:rsidRDefault="00BA27BE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расходов налогоплательщиков</w:t>
            </w:r>
          </w:p>
        </w:tc>
      </w:tr>
      <w:tr w:rsidR="00BA27BE" w:rsidTr="002A171D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969" w:type="dxa"/>
            <w:gridSpan w:val="2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налогового расхода: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анализ результативности предоставления льгот и результативности </w:t>
            </w:r>
            <w:proofErr w:type="gramStart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альтернативных механизмов </w:t>
            </w: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целей муниципальной программы Лесозаводского городского округа</w:t>
            </w:r>
            <w:proofErr w:type="gramEnd"/>
            <w:r w:rsidRPr="00BF51CC"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социально-экономической политики Лесозаводского городского округа, не относящихся к муниципальным программам Лесозаводского городского округа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Расчет коэффициента бюджетной эффективности стимулирующего налогового расхода Лесозаводского городского округа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Оценка совокупного бюджетного эффекта стимулирующего налогового расхода</w:t>
            </w:r>
          </w:p>
        </w:tc>
        <w:tc>
          <w:tcPr>
            <w:tcW w:w="7165" w:type="dxa"/>
          </w:tcPr>
          <w:p w:rsidR="00BA27BE" w:rsidRPr="00BF51CC" w:rsidRDefault="00BA27BE" w:rsidP="002A1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27BE" w:rsidTr="00D136AE">
        <w:tc>
          <w:tcPr>
            <w:tcW w:w="817" w:type="dxa"/>
          </w:tcPr>
          <w:p w:rsidR="00BA27BE" w:rsidRPr="00BF51CC" w:rsidRDefault="00BA27BE" w:rsidP="00D136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04" w:type="dxa"/>
          </w:tcPr>
          <w:p w:rsidR="00BA27BE" w:rsidRPr="00BF51CC" w:rsidRDefault="00BA27BE" w:rsidP="00BF5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1CC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оценки эффективности налогового расхода и предложения по пролонгации, корректировке или отмене льгот</w:t>
            </w:r>
          </w:p>
        </w:tc>
        <w:tc>
          <w:tcPr>
            <w:tcW w:w="7165" w:type="dxa"/>
          </w:tcPr>
          <w:p w:rsidR="00BA27BE" w:rsidRPr="00622451" w:rsidRDefault="00BA27BE" w:rsidP="00862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льгота эффективна</w:t>
            </w:r>
          </w:p>
        </w:tc>
      </w:tr>
    </w:tbl>
    <w:p w:rsidR="00D136AE" w:rsidRDefault="00D136AE" w:rsidP="00D136AE">
      <w:pPr>
        <w:spacing w:after="0"/>
        <w:jc w:val="center"/>
      </w:pPr>
    </w:p>
    <w:p w:rsidR="00245FDB" w:rsidRDefault="00245FDB" w:rsidP="00D136AE">
      <w:pPr>
        <w:spacing w:after="0"/>
        <w:jc w:val="center"/>
      </w:pPr>
    </w:p>
    <w:p w:rsidR="00245FDB" w:rsidRPr="00D22AF6" w:rsidRDefault="00245FDB" w:rsidP="00245FD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финансового </w:t>
      </w:r>
      <w:r w:rsidRPr="00D22AF6">
        <w:rPr>
          <w:rFonts w:ascii="Times New Roman" w:hAnsi="Times New Roman" w:cs="Times New Roman"/>
          <w:sz w:val="26"/>
          <w:szCs w:val="26"/>
        </w:rPr>
        <w:t xml:space="preserve">управления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22AF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22AF6">
        <w:rPr>
          <w:rFonts w:ascii="Times New Roman" w:hAnsi="Times New Roman" w:cs="Times New Roman"/>
          <w:sz w:val="26"/>
          <w:szCs w:val="26"/>
        </w:rPr>
        <w:t>В.Г.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D22AF6">
        <w:rPr>
          <w:rFonts w:ascii="Times New Roman" w:hAnsi="Times New Roman" w:cs="Times New Roman"/>
          <w:sz w:val="26"/>
          <w:szCs w:val="26"/>
        </w:rPr>
        <w:t>инюкова</w:t>
      </w:r>
      <w:proofErr w:type="spellEnd"/>
    </w:p>
    <w:p w:rsidR="00245FDB" w:rsidRDefault="00245FDB" w:rsidP="00D136AE">
      <w:pPr>
        <w:spacing w:after="0"/>
        <w:jc w:val="center"/>
      </w:pPr>
    </w:p>
    <w:sectPr w:rsidR="00245FDB" w:rsidSect="00D13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36AE"/>
    <w:rsid w:val="001F07BE"/>
    <w:rsid w:val="002036F6"/>
    <w:rsid w:val="00207608"/>
    <w:rsid w:val="00245FDB"/>
    <w:rsid w:val="002A171D"/>
    <w:rsid w:val="00344500"/>
    <w:rsid w:val="003D6309"/>
    <w:rsid w:val="003F76A7"/>
    <w:rsid w:val="004003E3"/>
    <w:rsid w:val="00532252"/>
    <w:rsid w:val="006E6B37"/>
    <w:rsid w:val="00726415"/>
    <w:rsid w:val="00947663"/>
    <w:rsid w:val="009B75A7"/>
    <w:rsid w:val="009C18F1"/>
    <w:rsid w:val="00AD4D7D"/>
    <w:rsid w:val="00B62366"/>
    <w:rsid w:val="00B67A72"/>
    <w:rsid w:val="00B71BB3"/>
    <w:rsid w:val="00BA27BE"/>
    <w:rsid w:val="00BF51CC"/>
    <w:rsid w:val="00CC7818"/>
    <w:rsid w:val="00D136AE"/>
    <w:rsid w:val="00E12D0E"/>
    <w:rsid w:val="00EF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6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Гранже</cp:lastModifiedBy>
  <cp:revision>7</cp:revision>
  <dcterms:created xsi:type="dcterms:W3CDTF">2020-08-12T04:41:00Z</dcterms:created>
  <dcterms:modified xsi:type="dcterms:W3CDTF">2021-11-21T23:04:00Z</dcterms:modified>
</cp:coreProperties>
</file>